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53EE1" w14:textId="7BABA927" w:rsidR="00C34EE4" w:rsidRDefault="006F6FAA" w:rsidP="00C34EE4">
      <w:pPr>
        <w:pStyle w:val="33"/>
        <w:tabs>
          <w:tab w:val="left" w:pos="420"/>
          <w:tab w:val="left" w:pos="630"/>
          <w:tab w:val="left" w:pos="840"/>
          <w:tab w:val="left" w:pos="1050"/>
          <w:tab w:val="left" w:pos="1680"/>
        </w:tabs>
        <w:jc w:val="center"/>
        <w:rPr>
          <w:rFonts w:ascii="宋体" w:eastAsia="宋体" w:hAnsi="宋体" w:cs="宋体" w:hint="eastAsia"/>
        </w:rPr>
      </w:pPr>
      <w:bookmarkStart w:id="0" w:name="_Toc47555574"/>
      <w:bookmarkStart w:id="1" w:name="_Toc24928"/>
      <w:r>
        <w:rPr>
          <w:rFonts w:ascii="宋体" w:eastAsia="宋体" w:hAnsi="宋体" w:cs="宋体" w:hint="eastAsia"/>
        </w:rPr>
        <w:t>厌氧</w:t>
      </w:r>
      <w:r w:rsidR="00C34EE4">
        <w:rPr>
          <w:rFonts w:ascii="宋体" w:eastAsia="宋体" w:hAnsi="宋体" w:cs="宋体" w:hint="eastAsia"/>
        </w:rPr>
        <w:t>发酵</w:t>
      </w:r>
      <w:proofErr w:type="gramStart"/>
      <w:r w:rsidR="00C34EE4">
        <w:rPr>
          <w:rFonts w:ascii="宋体" w:eastAsia="宋体" w:hAnsi="宋体" w:cs="宋体" w:hint="eastAsia"/>
        </w:rPr>
        <w:t>罐</w:t>
      </w:r>
      <w:r>
        <w:rPr>
          <w:rFonts w:ascii="宋体" w:eastAsia="宋体" w:hAnsi="宋体" w:cs="宋体" w:hint="eastAsia"/>
        </w:rPr>
        <w:t>系统</w:t>
      </w:r>
      <w:bookmarkEnd w:id="0"/>
      <w:bookmarkEnd w:id="1"/>
      <w:proofErr w:type="gramEnd"/>
      <w:r w:rsidR="00C34EE4">
        <w:rPr>
          <w:rFonts w:ascii="宋体" w:eastAsia="宋体" w:hAnsi="宋体" w:cs="宋体" w:hint="eastAsia"/>
        </w:rPr>
        <w:t>说明</w:t>
      </w:r>
    </w:p>
    <w:p w14:paraId="4627F9FC" w14:textId="121ECA7E" w:rsidR="006F6FAA" w:rsidRDefault="006F6FAA" w:rsidP="006F6FAA">
      <w:pPr>
        <w:ind w:left="482"/>
        <w:rPr>
          <w:rFonts w:ascii="宋体" w:eastAsia="宋体" w:hAnsi="宋体" w:cs="宋体"/>
          <w:kern w:val="2"/>
          <w:szCs w:val="20"/>
        </w:rPr>
      </w:pPr>
      <w:r>
        <w:rPr>
          <w:rFonts w:ascii="宋体" w:eastAsia="宋体" w:hAnsi="宋体" w:cs="宋体" w:hint="eastAsia"/>
          <w:kern w:val="2"/>
          <w:szCs w:val="20"/>
        </w:rPr>
        <w:t>主要包括厌氧</w:t>
      </w:r>
      <w:r w:rsidR="003102E0">
        <w:rPr>
          <w:rFonts w:ascii="宋体" w:eastAsia="宋体" w:hAnsi="宋体" w:cs="宋体" w:hint="eastAsia"/>
          <w:kern w:val="2"/>
          <w:szCs w:val="20"/>
        </w:rPr>
        <w:t>发酵</w:t>
      </w:r>
      <w:r>
        <w:rPr>
          <w:rFonts w:ascii="宋体" w:eastAsia="宋体" w:hAnsi="宋体" w:cs="宋体" w:hint="eastAsia"/>
          <w:kern w:val="2"/>
          <w:szCs w:val="20"/>
        </w:rPr>
        <w:t>系统及相应电气系统、自控系统及仪表系统等。</w:t>
      </w:r>
    </w:p>
    <w:p w14:paraId="06AE0401"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一、系统基本设计要求</w:t>
      </w:r>
    </w:p>
    <w:p w14:paraId="5CDC4A77" w14:textId="5EC10E6E"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厌氧系统采用CSTR厌氧反应器，厌氧发酵罐为钢制结构，中温厌氧，厌氧发酵</w:t>
      </w:r>
      <w:proofErr w:type="gramStart"/>
      <w:r>
        <w:rPr>
          <w:rFonts w:ascii="宋体" w:eastAsia="宋体" w:hAnsi="宋体" w:cs="宋体" w:hint="eastAsia"/>
          <w:kern w:val="2"/>
          <w:szCs w:val="20"/>
        </w:rPr>
        <w:t>罐设置</w:t>
      </w:r>
      <w:proofErr w:type="gramEnd"/>
      <w:r w:rsidR="003532FD">
        <w:rPr>
          <w:rFonts w:ascii="宋体" w:eastAsia="宋体" w:hAnsi="宋体" w:cs="宋体" w:hint="eastAsia"/>
          <w:kern w:val="2"/>
          <w:szCs w:val="20"/>
        </w:rPr>
        <w:t>一</w:t>
      </w:r>
      <w:r>
        <w:rPr>
          <w:rFonts w:ascii="宋体" w:eastAsia="宋体" w:hAnsi="宋体" w:cs="宋体" w:hint="eastAsia"/>
          <w:kern w:val="2"/>
          <w:szCs w:val="20"/>
        </w:rPr>
        <w:t>座，厌氧反应器水力停留时间不低于35天。投标方在投标文件中应详细阐述厌氧处理工艺主要设计参数包括但不限于：</w:t>
      </w:r>
    </w:p>
    <w:p w14:paraId="0A21A89A"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a）厌氧发酵罐的形式选取、工艺原理、厌氧处理的温度条件与加热恒温控制的实现方式、排泥方式等；</w:t>
      </w:r>
    </w:p>
    <w:p w14:paraId="484DC89A"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b）去除每公斤COD的沼气产量、、沼气热值、厌氧反应器运行参数（包括压力、温度、pH等）；</w:t>
      </w:r>
    </w:p>
    <w:p w14:paraId="6B159FAC"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c）厌氧发酵罐的设计污泥浓度，厌氧沼渣产生量、</w:t>
      </w:r>
      <w:proofErr w:type="gramStart"/>
      <w:r>
        <w:rPr>
          <w:rFonts w:ascii="宋体" w:eastAsia="宋体" w:hAnsi="宋体" w:cs="宋体" w:hint="eastAsia"/>
          <w:kern w:val="2"/>
          <w:szCs w:val="20"/>
        </w:rPr>
        <w:t>含固量</w:t>
      </w:r>
      <w:proofErr w:type="gramEnd"/>
      <w:r>
        <w:rPr>
          <w:rFonts w:ascii="宋体" w:eastAsia="宋体" w:hAnsi="宋体" w:cs="宋体" w:hint="eastAsia"/>
          <w:kern w:val="2"/>
          <w:szCs w:val="20"/>
        </w:rPr>
        <w:t>；</w:t>
      </w:r>
    </w:p>
    <w:p w14:paraId="379B809F"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d）厌氧系统的设计水力停留时间（最低不少于35天）；</w:t>
      </w:r>
    </w:p>
    <w:p w14:paraId="63A22668"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e）厌氧系统的容积负荷；</w:t>
      </w:r>
    </w:p>
    <w:p w14:paraId="5EA84B08"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f）厌氧发酵罐的防腐方式；</w:t>
      </w:r>
    </w:p>
    <w:p w14:paraId="79535748"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g）厌氧发酵罐放空检修时的安全措施；</w:t>
      </w:r>
    </w:p>
    <w:p w14:paraId="0D485C25" w14:textId="2F3CC193"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2）浆料中含有钙、镁离子和其他易结垢成分，在加热、厌氧过程中易结垢，投标方在投标文件中应说明厌氧发酵罐及配套管路的清垢频率及每次清垢所需时间，还应详细阐述厌氧系统使用过程中如何防止和减缓管路和设备结垢，并详细阐述相应清垢措施。</w:t>
      </w:r>
    </w:p>
    <w:p w14:paraId="2C03BC01"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（3）厌氧发酵</w:t>
      </w:r>
      <w:proofErr w:type="gramStart"/>
      <w:r>
        <w:rPr>
          <w:rFonts w:ascii="宋体" w:eastAsia="宋体" w:hAnsi="宋体" w:cs="宋体" w:hint="eastAsia"/>
          <w:kern w:val="2"/>
          <w:szCs w:val="20"/>
        </w:rPr>
        <w:t>罐必须</w:t>
      </w:r>
      <w:proofErr w:type="gramEnd"/>
      <w:r>
        <w:rPr>
          <w:rFonts w:ascii="宋体" w:eastAsia="宋体" w:hAnsi="宋体" w:cs="宋体" w:hint="eastAsia"/>
          <w:kern w:val="2"/>
          <w:szCs w:val="20"/>
        </w:rPr>
        <w:t>设置有关监测仪表和报警装置及固定防爆标识，如安装气体压力传感器，用于监测厌氧反应器内部气体压力等。</w:t>
      </w:r>
    </w:p>
    <w:p w14:paraId="26502D8F"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（4）厌氧发酵</w:t>
      </w:r>
      <w:proofErr w:type="gramStart"/>
      <w:r>
        <w:rPr>
          <w:rFonts w:ascii="宋体" w:eastAsia="宋体" w:hAnsi="宋体" w:cs="宋体" w:hint="eastAsia"/>
          <w:kern w:val="2"/>
          <w:szCs w:val="20"/>
        </w:rPr>
        <w:t>罐必须</w:t>
      </w:r>
      <w:proofErr w:type="gramEnd"/>
      <w:r>
        <w:rPr>
          <w:rFonts w:ascii="宋体" w:eastAsia="宋体" w:hAnsi="宋体" w:cs="宋体" w:hint="eastAsia"/>
          <w:kern w:val="2"/>
          <w:szCs w:val="20"/>
        </w:rPr>
        <w:t xml:space="preserve">安装沼气出气水封罐、沼气安全水封罐、沼气汽水分离器，材质不低于304不锈钢，并设有底部放空阀。 </w:t>
      </w:r>
    </w:p>
    <w:p w14:paraId="6CF08D74"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（5）厌氧发酵</w:t>
      </w:r>
      <w:proofErr w:type="gramStart"/>
      <w:r>
        <w:rPr>
          <w:rFonts w:ascii="宋体" w:eastAsia="宋体" w:hAnsi="宋体" w:cs="宋体" w:hint="eastAsia"/>
          <w:kern w:val="2"/>
          <w:szCs w:val="20"/>
        </w:rPr>
        <w:t>罐必须</w:t>
      </w:r>
      <w:proofErr w:type="gramEnd"/>
      <w:r>
        <w:rPr>
          <w:rFonts w:ascii="宋体" w:eastAsia="宋体" w:hAnsi="宋体" w:cs="宋体" w:hint="eastAsia"/>
          <w:kern w:val="2"/>
          <w:szCs w:val="20"/>
        </w:rPr>
        <w:t>保证密封，并在厌氧发酵罐顶部安装可燃气体报警仪</w:t>
      </w:r>
      <w:proofErr w:type="gramStart"/>
      <w:r>
        <w:rPr>
          <w:rFonts w:ascii="宋体" w:eastAsia="宋体" w:hAnsi="宋体" w:cs="宋体" w:hint="eastAsia"/>
          <w:kern w:val="2"/>
          <w:szCs w:val="20"/>
        </w:rPr>
        <w:t>仪</w:t>
      </w:r>
      <w:proofErr w:type="gramEnd"/>
      <w:r>
        <w:rPr>
          <w:rFonts w:ascii="宋体" w:eastAsia="宋体" w:hAnsi="宋体" w:cs="宋体" w:hint="eastAsia"/>
          <w:kern w:val="2"/>
          <w:szCs w:val="20"/>
        </w:rPr>
        <w:t>。</w:t>
      </w:r>
    </w:p>
    <w:p w14:paraId="636F986B"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（6）厌氧发酵</w:t>
      </w:r>
      <w:proofErr w:type="gramStart"/>
      <w:r>
        <w:rPr>
          <w:rFonts w:ascii="宋体" w:eastAsia="宋体" w:hAnsi="宋体" w:cs="宋体" w:hint="eastAsia"/>
          <w:kern w:val="2"/>
          <w:szCs w:val="20"/>
        </w:rPr>
        <w:t>罐必须</w:t>
      </w:r>
      <w:proofErr w:type="gramEnd"/>
      <w:r>
        <w:rPr>
          <w:rFonts w:ascii="宋体" w:eastAsia="宋体" w:hAnsi="宋体" w:cs="宋体" w:hint="eastAsia"/>
          <w:kern w:val="2"/>
          <w:szCs w:val="20"/>
        </w:rPr>
        <w:t>设置控制温度的措施、交代分层的取样位置，安装液位传感器、pH测量仪、温度测量仪等仪表，用于监控厌氧系统运行参数。</w:t>
      </w:r>
    </w:p>
    <w:p w14:paraId="4B3735AF"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（7）厌氧罐底部应设应急泄漏收集区。</w:t>
      </w:r>
    </w:p>
    <w:p w14:paraId="20135B3C"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（8）厌氧反应设施应设置硫化氢、沼气浓度监测、安全减压装置和报警装</w:t>
      </w:r>
      <w:r>
        <w:rPr>
          <w:rFonts w:ascii="宋体" w:eastAsia="宋体" w:hAnsi="宋体" w:cs="宋体" w:hint="eastAsia"/>
          <w:kern w:val="2"/>
          <w:szCs w:val="20"/>
        </w:rPr>
        <w:lastRenderedPageBreak/>
        <w:t>置。</w:t>
      </w:r>
    </w:p>
    <w:p w14:paraId="219FCC6A"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（9）厌氧处理单元防爆的安全措施。</w:t>
      </w:r>
    </w:p>
    <w:p w14:paraId="0A71BA28"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（10）厌氧发酵罐本体开孔管道DN≥100，与外接管</w:t>
      </w:r>
      <w:proofErr w:type="gramStart"/>
      <w:r>
        <w:rPr>
          <w:rFonts w:ascii="宋体" w:eastAsia="宋体" w:hAnsi="宋体" w:cs="宋体" w:hint="eastAsia"/>
          <w:kern w:val="2"/>
          <w:szCs w:val="20"/>
        </w:rPr>
        <w:t>道采用</w:t>
      </w:r>
      <w:proofErr w:type="gramEnd"/>
      <w:r>
        <w:rPr>
          <w:rFonts w:ascii="宋体" w:eastAsia="宋体" w:hAnsi="宋体" w:cs="宋体" w:hint="eastAsia"/>
          <w:kern w:val="2"/>
          <w:szCs w:val="20"/>
        </w:rPr>
        <w:t>法兰方式连接（如外接管道DN＜100，可</w:t>
      </w:r>
      <w:proofErr w:type="gramStart"/>
      <w:r>
        <w:rPr>
          <w:rFonts w:ascii="宋体" w:eastAsia="宋体" w:hAnsi="宋体" w:cs="宋体" w:hint="eastAsia"/>
          <w:kern w:val="2"/>
          <w:szCs w:val="20"/>
        </w:rPr>
        <w:t>采用变径方式</w:t>
      </w:r>
      <w:proofErr w:type="gramEnd"/>
      <w:r>
        <w:rPr>
          <w:rFonts w:ascii="宋体" w:eastAsia="宋体" w:hAnsi="宋体" w:cs="宋体" w:hint="eastAsia"/>
          <w:kern w:val="2"/>
          <w:szCs w:val="20"/>
        </w:rPr>
        <w:t>）；配套的管路，如进水管、循环管、污泥排放管等，须每隔一定距离使用法兰连接，方便管道堵塞后的清理。</w:t>
      </w:r>
    </w:p>
    <w:p w14:paraId="47FF341F"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（11）厌氧罐罐顶</w:t>
      </w:r>
      <w:proofErr w:type="gramStart"/>
      <w:r>
        <w:rPr>
          <w:rFonts w:ascii="宋体" w:eastAsia="宋体" w:hAnsi="宋体" w:cs="宋体" w:hint="eastAsia"/>
          <w:kern w:val="2"/>
          <w:szCs w:val="20"/>
        </w:rPr>
        <w:t>须设计</w:t>
      </w:r>
      <w:proofErr w:type="gramEnd"/>
      <w:r>
        <w:rPr>
          <w:rFonts w:ascii="宋体" w:eastAsia="宋体" w:hAnsi="宋体" w:cs="宋体" w:hint="eastAsia"/>
          <w:kern w:val="2"/>
          <w:szCs w:val="20"/>
        </w:rPr>
        <w:t>雨水收集与排放系统，接引至地面污水管沟，避免运行维护过程中排出的污水肆意排放。</w:t>
      </w:r>
    </w:p>
    <w:p w14:paraId="247F6DD1"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（12）厌氧罐防腐保温要求：</w:t>
      </w:r>
    </w:p>
    <w:p w14:paraId="47A4BBA0"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a）厌氧罐内壁（碳钢部分）应按规范要求采取可靠防腐处理措施，招标方推荐的防腐措施如下：厌氧罐（碳钢部分）内壁及其内部过流部件的防腐：防腐前进行喷丸除锈处理，除锈等级不低于Sa2.5级，内部</w:t>
      </w:r>
      <w:proofErr w:type="gramStart"/>
      <w:r>
        <w:rPr>
          <w:rFonts w:ascii="宋体" w:eastAsia="宋体" w:hAnsi="宋体" w:cs="宋体" w:hint="eastAsia"/>
          <w:kern w:val="2"/>
          <w:szCs w:val="20"/>
        </w:rPr>
        <w:t>涂装环氧</w:t>
      </w:r>
      <w:proofErr w:type="gramEnd"/>
      <w:r>
        <w:rPr>
          <w:rFonts w:ascii="宋体" w:eastAsia="宋体" w:hAnsi="宋体" w:cs="宋体" w:hint="eastAsia"/>
          <w:kern w:val="2"/>
          <w:szCs w:val="20"/>
        </w:rPr>
        <w:t>富锌底漆2道，干膜厚度不小于80μm；</w:t>
      </w:r>
      <w:proofErr w:type="gramStart"/>
      <w:r>
        <w:rPr>
          <w:rFonts w:ascii="宋体" w:eastAsia="宋体" w:hAnsi="宋体" w:cs="宋体" w:hint="eastAsia"/>
          <w:kern w:val="2"/>
          <w:szCs w:val="20"/>
        </w:rPr>
        <w:t>环氧云铁</w:t>
      </w:r>
      <w:proofErr w:type="gramEnd"/>
      <w:r>
        <w:rPr>
          <w:rFonts w:ascii="宋体" w:eastAsia="宋体" w:hAnsi="宋体" w:cs="宋体" w:hint="eastAsia"/>
          <w:kern w:val="2"/>
          <w:szCs w:val="20"/>
        </w:rPr>
        <w:t>中间漆1道，干膜厚度不小于80μm；环氧煤沥青面漆2道，干膜厚度不小于80μm；涂层总厚度应达到240μm以上。厌氧罐外部（碳钢部分），包括盘梯、栏杆的防腐：防腐前进行喷丸除锈处理，除锈等级不低于Sa2.5级。</w:t>
      </w:r>
    </w:p>
    <w:p w14:paraId="15BEB4A8"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b）罐体及罐顶保温材料采用矿岩棉，矿岩棉厚度为：罐体100mm，罐顶100mm，外部为彩钢板覆盖。其中矿岩棉密度：100 kg/㎡；彩钢板厚度：0.8mm，彩钢板的颜色由甲方指定。</w:t>
      </w:r>
    </w:p>
    <w:p w14:paraId="5025481A" w14:textId="77777777" w:rsidR="006F6FAA" w:rsidRDefault="006F6FAA" w:rsidP="006F6FAA">
      <w:pPr>
        <w:ind w:firstLineChars="250" w:firstLine="600"/>
        <w:rPr>
          <w:rFonts w:ascii="宋体" w:eastAsia="宋体" w:hAnsi="宋体" w:cs="宋体"/>
        </w:rPr>
      </w:pPr>
      <w:r>
        <w:rPr>
          <w:rFonts w:ascii="宋体" w:eastAsia="宋体" w:hAnsi="宋体" w:cs="宋体" w:hint="eastAsia"/>
        </w:rPr>
        <w:t>（13）厌氧技术指标如下：</w:t>
      </w:r>
    </w:p>
    <w:tbl>
      <w:tblPr>
        <w:tblW w:w="473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5"/>
        <w:gridCol w:w="4186"/>
      </w:tblGrid>
      <w:tr w:rsidR="006F6FAA" w14:paraId="31E22BE0" w14:textId="77777777" w:rsidTr="006F6FAA">
        <w:trPr>
          <w:trHeight w:val="450"/>
        </w:trPr>
        <w:tc>
          <w:tcPr>
            <w:tcW w:w="2334" w:type="pct"/>
            <w:tcBorders>
              <w:top w:val="single" w:sz="4" w:space="0" w:color="auto"/>
              <w:left w:val="single" w:sz="4" w:space="0" w:color="auto"/>
              <w:bottom w:val="single" w:sz="4" w:space="0" w:color="auto"/>
              <w:right w:val="single" w:sz="4" w:space="0" w:color="auto"/>
            </w:tcBorders>
            <w:hideMark/>
          </w:tcPr>
          <w:p w14:paraId="414BFAB1"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技术指标</w:t>
            </w:r>
          </w:p>
        </w:tc>
        <w:tc>
          <w:tcPr>
            <w:tcW w:w="2666" w:type="pct"/>
            <w:tcBorders>
              <w:top w:val="single" w:sz="4" w:space="0" w:color="auto"/>
              <w:left w:val="single" w:sz="4" w:space="0" w:color="auto"/>
              <w:bottom w:val="single" w:sz="4" w:space="0" w:color="auto"/>
              <w:right w:val="single" w:sz="4" w:space="0" w:color="auto"/>
            </w:tcBorders>
            <w:hideMark/>
          </w:tcPr>
          <w:p w14:paraId="1ADD2BB3"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数值</w:t>
            </w:r>
          </w:p>
        </w:tc>
      </w:tr>
      <w:tr w:rsidR="006F6FAA" w14:paraId="0A8E605C" w14:textId="77777777" w:rsidTr="006F6FAA">
        <w:trPr>
          <w:trHeight w:val="462"/>
        </w:trPr>
        <w:tc>
          <w:tcPr>
            <w:tcW w:w="2334" w:type="pct"/>
            <w:tcBorders>
              <w:top w:val="single" w:sz="4" w:space="0" w:color="auto"/>
              <w:left w:val="single" w:sz="4" w:space="0" w:color="auto"/>
              <w:bottom w:val="single" w:sz="4" w:space="0" w:color="auto"/>
              <w:right w:val="single" w:sz="4" w:space="0" w:color="auto"/>
            </w:tcBorders>
            <w:hideMark/>
          </w:tcPr>
          <w:p w14:paraId="4CB9EC8B"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进料量</w:t>
            </w:r>
          </w:p>
        </w:tc>
        <w:tc>
          <w:tcPr>
            <w:tcW w:w="2666" w:type="pct"/>
            <w:tcBorders>
              <w:top w:val="single" w:sz="4" w:space="0" w:color="auto"/>
              <w:left w:val="single" w:sz="4" w:space="0" w:color="auto"/>
              <w:bottom w:val="single" w:sz="4" w:space="0" w:color="auto"/>
              <w:right w:val="single" w:sz="4" w:space="0" w:color="auto"/>
            </w:tcBorders>
            <w:hideMark/>
          </w:tcPr>
          <w:p w14:paraId="13B464DE"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≥预处理后物料量</w:t>
            </w:r>
          </w:p>
        </w:tc>
      </w:tr>
      <w:tr w:rsidR="006F6FAA" w14:paraId="6F4A4EF8" w14:textId="77777777" w:rsidTr="006F6FAA">
        <w:trPr>
          <w:trHeight w:val="462"/>
        </w:trPr>
        <w:tc>
          <w:tcPr>
            <w:tcW w:w="2334" w:type="pct"/>
            <w:tcBorders>
              <w:top w:val="single" w:sz="4" w:space="0" w:color="auto"/>
              <w:left w:val="single" w:sz="4" w:space="0" w:color="auto"/>
              <w:bottom w:val="single" w:sz="4" w:space="0" w:color="auto"/>
              <w:right w:val="single" w:sz="4" w:space="0" w:color="auto"/>
            </w:tcBorders>
            <w:hideMark/>
          </w:tcPr>
          <w:p w14:paraId="13135662"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温度</w:t>
            </w:r>
          </w:p>
        </w:tc>
        <w:tc>
          <w:tcPr>
            <w:tcW w:w="2666" w:type="pct"/>
            <w:tcBorders>
              <w:top w:val="single" w:sz="4" w:space="0" w:color="auto"/>
              <w:left w:val="single" w:sz="4" w:space="0" w:color="auto"/>
              <w:bottom w:val="single" w:sz="4" w:space="0" w:color="auto"/>
              <w:right w:val="single" w:sz="4" w:space="0" w:color="auto"/>
            </w:tcBorders>
            <w:hideMark/>
          </w:tcPr>
          <w:p w14:paraId="67E5A07A" w14:textId="68CBD831"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3</w:t>
            </w:r>
            <w:r w:rsidR="003E7497">
              <w:rPr>
                <w:rFonts w:ascii="宋体" w:eastAsia="宋体" w:hAnsi="宋体" w:cs="宋体" w:hint="eastAsia"/>
                <w:sz w:val="21"/>
                <w:szCs w:val="21"/>
              </w:rPr>
              <w:t>5</w:t>
            </w:r>
            <w:r>
              <w:rPr>
                <w:rFonts w:ascii="宋体" w:eastAsia="宋体" w:hAnsi="宋体" w:cs="宋体" w:hint="eastAsia"/>
                <w:sz w:val="21"/>
                <w:szCs w:val="21"/>
              </w:rPr>
              <w:t>±2℃</w:t>
            </w:r>
          </w:p>
        </w:tc>
      </w:tr>
      <w:tr w:rsidR="006F6FAA" w14:paraId="2E1800F2" w14:textId="77777777" w:rsidTr="006F6FAA">
        <w:trPr>
          <w:trHeight w:val="462"/>
        </w:trPr>
        <w:tc>
          <w:tcPr>
            <w:tcW w:w="2334" w:type="pct"/>
            <w:tcBorders>
              <w:top w:val="single" w:sz="4" w:space="0" w:color="auto"/>
              <w:left w:val="single" w:sz="4" w:space="0" w:color="auto"/>
              <w:bottom w:val="single" w:sz="4" w:space="0" w:color="auto"/>
              <w:right w:val="single" w:sz="4" w:space="0" w:color="auto"/>
            </w:tcBorders>
            <w:vAlign w:val="center"/>
            <w:hideMark/>
          </w:tcPr>
          <w:p w14:paraId="10C47A74"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沼气甲烷浓度</w:t>
            </w:r>
          </w:p>
        </w:tc>
        <w:tc>
          <w:tcPr>
            <w:tcW w:w="2666" w:type="pct"/>
            <w:tcBorders>
              <w:top w:val="single" w:sz="4" w:space="0" w:color="auto"/>
              <w:left w:val="single" w:sz="4" w:space="0" w:color="auto"/>
              <w:bottom w:val="single" w:sz="4" w:space="0" w:color="auto"/>
              <w:right w:val="single" w:sz="4" w:space="0" w:color="auto"/>
            </w:tcBorders>
            <w:vAlign w:val="center"/>
            <w:hideMark/>
          </w:tcPr>
          <w:p w14:paraId="5C9A7F71"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55%~65%</w:t>
            </w:r>
          </w:p>
        </w:tc>
      </w:tr>
      <w:tr w:rsidR="006F6FAA" w14:paraId="289F0008" w14:textId="77777777" w:rsidTr="006F6FAA">
        <w:trPr>
          <w:trHeight w:val="462"/>
        </w:trPr>
        <w:tc>
          <w:tcPr>
            <w:tcW w:w="2334" w:type="pct"/>
            <w:tcBorders>
              <w:top w:val="single" w:sz="4" w:space="0" w:color="auto"/>
              <w:left w:val="single" w:sz="4" w:space="0" w:color="auto"/>
              <w:bottom w:val="single" w:sz="4" w:space="0" w:color="auto"/>
              <w:right w:val="single" w:sz="4" w:space="0" w:color="auto"/>
            </w:tcBorders>
            <w:vAlign w:val="center"/>
            <w:hideMark/>
          </w:tcPr>
          <w:p w14:paraId="69E91728"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沼气CH4含量</w:t>
            </w:r>
          </w:p>
        </w:tc>
        <w:tc>
          <w:tcPr>
            <w:tcW w:w="2666" w:type="pct"/>
            <w:tcBorders>
              <w:top w:val="single" w:sz="4" w:space="0" w:color="auto"/>
              <w:left w:val="single" w:sz="4" w:space="0" w:color="auto"/>
              <w:bottom w:val="single" w:sz="4" w:space="0" w:color="auto"/>
              <w:right w:val="single" w:sz="4" w:space="0" w:color="auto"/>
            </w:tcBorders>
            <w:vAlign w:val="center"/>
            <w:hideMark/>
          </w:tcPr>
          <w:p w14:paraId="2E2A522B"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≥50%</w:t>
            </w:r>
          </w:p>
        </w:tc>
      </w:tr>
    </w:tbl>
    <w:p w14:paraId="76D10686" w14:textId="77777777" w:rsidR="006F6FAA" w:rsidRDefault="006F6FAA" w:rsidP="006F6FAA">
      <w:pPr>
        <w:ind w:firstLineChars="200" w:firstLine="482"/>
        <w:rPr>
          <w:rFonts w:ascii="宋体" w:eastAsia="宋体" w:hAnsi="宋体" w:cs="宋体"/>
        </w:rPr>
      </w:pPr>
      <w:r>
        <w:rPr>
          <w:rFonts w:ascii="宋体" w:eastAsia="宋体" w:hAnsi="宋体" w:cs="宋体" w:hint="eastAsia"/>
          <w:b/>
        </w:rPr>
        <w:t>二、供货设备</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500"/>
        <w:gridCol w:w="2227"/>
        <w:gridCol w:w="709"/>
        <w:gridCol w:w="851"/>
        <w:gridCol w:w="1275"/>
        <w:gridCol w:w="851"/>
      </w:tblGrid>
      <w:tr w:rsidR="006F6FAA" w14:paraId="3BE3DE38" w14:textId="77777777" w:rsidTr="002F6399">
        <w:trPr>
          <w:trHeight w:val="270"/>
        </w:trPr>
        <w:tc>
          <w:tcPr>
            <w:tcW w:w="804" w:type="dxa"/>
            <w:tcBorders>
              <w:top w:val="single" w:sz="4" w:space="0" w:color="auto"/>
              <w:left w:val="single" w:sz="4" w:space="0" w:color="auto"/>
              <w:bottom w:val="single" w:sz="4" w:space="0" w:color="auto"/>
              <w:right w:val="single" w:sz="4" w:space="0" w:color="auto"/>
            </w:tcBorders>
            <w:vAlign w:val="center"/>
            <w:hideMark/>
          </w:tcPr>
          <w:p w14:paraId="4BF437CB"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编号</w:t>
            </w:r>
          </w:p>
        </w:tc>
        <w:tc>
          <w:tcPr>
            <w:tcW w:w="1500" w:type="dxa"/>
            <w:tcBorders>
              <w:top w:val="single" w:sz="4" w:space="0" w:color="auto"/>
              <w:left w:val="single" w:sz="4" w:space="0" w:color="auto"/>
              <w:bottom w:val="single" w:sz="4" w:space="0" w:color="auto"/>
              <w:right w:val="single" w:sz="4" w:space="0" w:color="auto"/>
            </w:tcBorders>
            <w:vAlign w:val="center"/>
            <w:hideMark/>
          </w:tcPr>
          <w:p w14:paraId="730D3CFC"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设备名称</w:t>
            </w:r>
          </w:p>
        </w:tc>
        <w:tc>
          <w:tcPr>
            <w:tcW w:w="2227" w:type="dxa"/>
            <w:tcBorders>
              <w:top w:val="single" w:sz="4" w:space="0" w:color="auto"/>
              <w:left w:val="single" w:sz="4" w:space="0" w:color="auto"/>
              <w:bottom w:val="single" w:sz="4" w:space="0" w:color="auto"/>
              <w:right w:val="single" w:sz="4" w:space="0" w:color="auto"/>
            </w:tcBorders>
            <w:vAlign w:val="center"/>
            <w:hideMark/>
          </w:tcPr>
          <w:p w14:paraId="5DE9925F"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技术规格</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A1260B"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单位</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D648B"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数量</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6D53A"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安装位置</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6EFCC6" w14:textId="77777777" w:rsidR="006F6FAA" w:rsidRDefault="006F6FAA">
            <w:pPr>
              <w:widowControl/>
              <w:jc w:val="center"/>
              <w:rPr>
                <w:rFonts w:ascii="宋体" w:eastAsia="宋体" w:hAnsi="宋体" w:cs="宋体"/>
                <w:b/>
                <w:sz w:val="21"/>
                <w:szCs w:val="21"/>
              </w:rPr>
            </w:pPr>
            <w:r>
              <w:rPr>
                <w:rFonts w:ascii="宋体" w:eastAsia="宋体" w:hAnsi="宋体" w:cs="宋体" w:hint="eastAsia"/>
                <w:b/>
                <w:sz w:val="21"/>
                <w:szCs w:val="21"/>
              </w:rPr>
              <w:t>备注</w:t>
            </w:r>
          </w:p>
        </w:tc>
      </w:tr>
      <w:tr w:rsidR="006F6FAA" w14:paraId="3022AE5C" w14:textId="77777777" w:rsidTr="002F6399">
        <w:trPr>
          <w:trHeight w:val="270"/>
        </w:trPr>
        <w:tc>
          <w:tcPr>
            <w:tcW w:w="804" w:type="dxa"/>
            <w:tcBorders>
              <w:top w:val="single" w:sz="4" w:space="0" w:color="auto"/>
              <w:left w:val="single" w:sz="4" w:space="0" w:color="auto"/>
              <w:bottom w:val="single" w:sz="4" w:space="0" w:color="auto"/>
              <w:right w:val="single" w:sz="4" w:space="0" w:color="auto"/>
            </w:tcBorders>
            <w:vAlign w:val="center"/>
            <w:hideMark/>
          </w:tcPr>
          <w:p w14:paraId="0CA26753" w14:textId="2EB47817" w:rsidR="006F6FAA" w:rsidRDefault="00146F97">
            <w:pPr>
              <w:widowControl/>
              <w:jc w:val="center"/>
              <w:rPr>
                <w:rFonts w:ascii="宋体" w:eastAsia="宋体" w:hAnsi="宋体" w:cs="宋体"/>
                <w:sz w:val="21"/>
                <w:szCs w:val="21"/>
              </w:rPr>
            </w:pPr>
            <w:r>
              <w:rPr>
                <w:rFonts w:ascii="宋体" w:eastAsia="宋体" w:hAnsi="宋体" w:cs="宋体"/>
                <w:sz w:val="21"/>
                <w:szCs w:val="21"/>
              </w:rPr>
              <w:t>1</w:t>
            </w:r>
          </w:p>
        </w:tc>
        <w:tc>
          <w:tcPr>
            <w:tcW w:w="1500" w:type="dxa"/>
            <w:tcBorders>
              <w:top w:val="single" w:sz="4" w:space="0" w:color="auto"/>
              <w:left w:val="single" w:sz="4" w:space="0" w:color="auto"/>
              <w:bottom w:val="single" w:sz="4" w:space="0" w:color="auto"/>
              <w:right w:val="single" w:sz="4" w:space="0" w:color="auto"/>
            </w:tcBorders>
            <w:vAlign w:val="center"/>
            <w:hideMark/>
          </w:tcPr>
          <w:p w14:paraId="4D62A22F"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厌氧罐</w:t>
            </w:r>
          </w:p>
        </w:tc>
        <w:tc>
          <w:tcPr>
            <w:tcW w:w="2227" w:type="dxa"/>
            <w:tcBorders>
              <w:top w:val="single" w:sz="4" w:space="0" w:color="auto"/>
              <w:left w:val="single" w:sz="4" w:space="0" w:color="auto"/>
              <w:bottom w:val="single" w:sz="4" w:space="0" w:color="auto"/>
              <w:right w:val="single" w:sz="4" w:space="0" w:color="auto"/>
            </w:tcBorders>
            <w:vAlign w:val="center"/>
            <w:hideMark/>
          </w:tcPr>
          <w:p w14:paraId="5BF4C668" w14:textId="38F2C49C"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Φ14*1</w:t>
            </w:r>
            <w:r w:rsidR="00FC5207">
              <w:rPr>
                <w:rFonts w:ascii="宋体" w:eastAsia="宋体" w:hAnsi="宋体" w:cs="宋体"/>
                <w:sz w:val="21"/>
                <w:szCs w:val="21"/>
              </w:rPr>
              <w:t>1</w:t>
            </w:r>
            <w:r>
              <w:rPr>
                <w:rFonts w:ascii="宋体" w:eastAsia="宋体" w:hAnsi="宋体" w:cs="宋体" w:hint="eastAsia"/>
                <w:sz w:val="21"/>
                <w:szCs w:val="21"/>
              </w:rPr>
              <w:t>m， V=</w:t>
            </w:r>
            <w:r w:rsidR="002C7041">
              <w:rPr>
                <w:rFonts w:ascii="宋体" w:eastAsia="宋体" w:hAnsi="宋体" w:cs="宋体"/>
                <w:sz w:val="21"/>
                <w:szCs w:val="21"/>
              </w:rPr>
              <w:t>1</w:t>
            </w:r>
            <w:r>
              <w:rPr>
                <w:rFonts w:ascii="宋体" w:eastAsia="宋体" w:hAnsi="宋体" w:cs="宋体" w:hint="eastAsia"/>
                <w:sz w:val="21"/>
                <w:szCs w:val="21"/>
              </w:rPr>
              <w:t>500m³</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5BBF"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套</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891AB" w14:textId="7D238191" w:rsidR="006F6FAA" w:rsidRDefault="00BE3B4E">
            <w:pPr>
              <w:widowControl/>
              <w:jc w:val="center"/>
              <w:rPr>
                <w:rFonts w:ascii="宋体" w:eastAsia="宋体" w:hAnsi="宋体" w:cs="宋体"/>
                <w:sz w:val="21"/>
                <w:szCs w:val="21"/>
              </w:rPr>
            </w:pPr>
            <w:r>
              <w:rPr>
                <w:rFonts w:ascii="宋体" w:eastAsia="宋体" w:hAnsi="宋体" w:cs="宋体" w:hint="eastAsia"/>
                <w:sz w:val="21"/>
                <w:szCs w:val="21"/>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C91A72" w14:textId="77777777" w:rsidR="006F6FAA" w:rsidRDefault="006F6FAA">
            <w:pPr>
              <w:widowControl/>
              <w:jc w:val="center"/>
              <w:rPr>
                <w:rFonts w:ascii="宋体" w:eastAsia="宋体" w:hAnsi="宋体" w:cs="宋体"/>
                <w:sz w:val="21"/>
                <w:szCs w:val="21"/>
              </w:rPr>
            </w:pPr>
            <w:r>
              <w:rPr>
                <w:rFonts w:ascii="宋体" w:eastAsia="宋体" w:hAnsi="宋体" w:cs="宋体" w:hint="eastAsia"/>
                <w:sz w:val="21"/>
                <w:szCs w:val="21"/>
              </w:rPr>
              <w:t>厌氧系统</w:t>
            </w:r>
          </w:p>
        </w:tc>
        <w:tc>
          <w:tcPr>
            <w:tcW w:w="851" w:type="dxa"/>
            <w:tcBorders>
              <w:top w:val="single" w:sz="4" w:space="0" w:color="auto"/>
              <w:left w:val="single" w:sz="4" w:space="0" w:color="auto"/>
              <w:bottom w:val="single" w:sz="4" w:space="0" w:color="auto"/>
              <w:right w:val="single" w:sz="4" w:space="0" w:color="auto"/>
            </w:tcBorders>
            <w:vAlign w:val="center"/>
          </w:tcPr>
          <w:p w14:paraId="050872A4" w14:textId="77777777" w:rsidR="006F6FAA" w:rsidRDefault="006F6FAA">
            <w:pPr>
              <w:widowControl/>
              <w:jc w:val="center"/>
              <w:rPr>
                <w:rFonts w:ascii="宋体" w:eastAsia="宋体" w:hAnsi="宋体" w:cs="宋体"/>
                <w:sz w:val="21"/>
                <w:szCs w:val="21"/>
              </w:rPr>
            </w:pPr>
          </w:p>
        </w:tc>
      </w:tr>
    </w:tbl>
    <w:p w14:paraId="3D4896A0" w14:textId="77777777" w:rsidR="006F6FAA" w:rsidRDefault="006F6FAA" w:rsidP="006F6FAA">
      <w:pPr>
        <w:ind w:firstLineChars="200" w:firstLine="480"/>
        <w:rPr>
          <w:rFonts w:ascii="宋体" w:eastAsia="宋体" w:hAnsi="宋体" w:cs="宋体"/>
        </w:rPr>
      </w:pPr>
      <w:r>
        <w:rPr>
          <w:rFonts w:ascii="宋体" w:eastAsia="宋体" w:hAnsi="宋体" w:cs="宋体" w:hint="eastAsia"/>
        </w:rPr>
        <w:t>（以上设备仅为主要设备，包含但不限于这些，技术规格为参考规格，投标人应根据实际采用的工艺方案补充完善所有为完成该部分功能所需的设备种</w:t>
      </w:r>
      <w:r>
        <w:rPr>
          <w:rFonts w:ascii="宋体" w:eastAsia="宋体" w:hAnsi="宋体" w:cs="宋体" w:hint="eastAsia"/>
        </w:rPr>
        <w:lastRenderedPageBreak/>
        <w:t>类和数量，所有价格已包含在该子系统的投标报价中。投标人在中标后不因系统供应商的方案变更而增加本系统所有配套设备的总安装和设备费用。）</w:t>
      </w:r>
    </w:p>
    <w:p w14:paraId="24C73E2F" w14:textId="77777777" w:rsidR="006F6FAA" w:rsidRDefault="006F6FAA" w:rsidP="006F6FAA">
      <w:pPr>
        <w:adjustRightInd w:val="0"/>
        <w:snapToGrid w:val="0"/>
        <w:ind w:firstLineChars="200" w:firstLine="482"/>
        <w:rPr>
          <w:rFonts w:ascii="宋体" w:eastAsia="宋体" w:hAnsi="宋体" w:cs="宋体"/>
          <w:b/>
        </w:rPr>
      </w:pPr>
      <w:r>
        <w:rPr>
          <w:rFonts w:ascii="宋体" w:eastAsia="宋体" w:hAnsi="宋体" w:cs="宋体" w:hint="eastAsia"/>
          <w:b/>
        </w:rPr>
        <w:t>三、配套设备</w:t>
      </w:r>
    </w:p>
    <w:p w14:paraId="0AA9648C" w14:textId="066887F8" w:rsidR="006F6FAA" w:rsidRDefault="006F6FAA" w:rsidP="006F6FAA">
      <w:pPr>
        <w:ind w:firstLineChars="200" w:firstLine="480"/>
        <w:rPr>
          <w:rFonts w:ascii="宋体" w:eastAsia="宋体" w:hAnsi="宋体" w:cs="宋体"/>
        </w:rPr>
      </w:pPr>
      <w:r>
        <w:rPr>
          <w:rFonts w:ascii="宋体" w:eastAsia="宋体" w:hAnsi="宋体" w:cs="宋体" w:hint="eastAsia"/>
        </w:rPr>
        <w:t>本系统配套的水泵中，与污水或浆料接触的水泵材质必须为304或更耐腐蚀材质。</w:t>
      </w:r>
    </w:p>
    <w:p w14:paraId="1F830FAD" w14:textId="77777777" w:rsidR="006F6FAA" w:rsidRDefault="006F6FAA" w:rsidP="006F6FAA">
      <w:pPr>
        <w:ind w:left="482"/>
        <w:rPr>
          <w:rFonts w:ascii="宋体" w:eastAsia="宋体" w:hAnsi="宋体" w:cs="宋体"/>
          <w:b/>
        </w:rPr>
      </w:pPr>
      <w:r>
        <w:rPr>
          <w:rFonts w:ascii="宋体" w:eastAsia="宋体" w:hAnsi="宋体" w:cs="宋体" w:hint="eastAsia"/>
          <w:b/>
        </w:rPr>
        <w:t>四、技术要求</w:t>
      </w:r>
    </w:p>
    <w:p w14:paraId="01FD17E6"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1）罐体有保温设施，能够保证罐体物料温度全年每天24小时内温差不超过1度。</w:t>
      </w:r>
    </w:p>
    <w:p w14:paraId="658A80EF"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2）应采用自动化程度高的厌氧发酵装置，以确保厌氧系统正常稳定运行。</w:t>
      </w:r>
    </w:p>
    <w:p w14:paraId="0D813B61"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3）厌氧反应器的水力停留时间不小于35天。</w:t>
      </w:r>
    </w:p>
    <w:p w14:paraId="31CFA798"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4）厌氧罐罐体需维护、清理周期大于3年。</w:t>
      </w:r>
    </w:p>
    <w:p w14:paraId="065D4445"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5）罐体内浆料应保证能正常流动，防止物料厌氧不均匀，确保罐体进出物料通畅，不堵塞进出料口。</w:t>
      </w:r>
    </w:p>
    <w:p w14:paraId="4310BA92"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6）罐体应明确抗风、抗震、承载力、压力、防腐等级要求。</w:t>
      </w:r>
    </w:p>
    <w:p w14:paraId="73D25305"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7）罐体使用寿命应大于20年。</w:t>
      </w:r>
    </w:p>
    <w:p w14:paraId="66C7DACE" w14:textId="77777777" w:rsidR="006F6FAA" w:rsidRDefault="006F6FAA" w:rsidP="006F6FAA">
      <w:pPr>
        <w:ind w:left="96" w:firstLineChars="150" w:firstLine="360"/>
        <w:rPr>
          <w:rFonts w:ascii="宋体" w:eastAsia="宋体" w:hAnsi="宋体" w:cs="宋体"/>
          <w:kern w:val="2"/>
          <w:szCs w:val="20"/>
        </w:rPr>
      </w:pPr>
      <w:r>
        <w:rPr>
          <w:rFonts w:ascii="宋体" w:eastAsia="宋体" w:hAnsi="宋体" w:cs="宋体" w:hint="eastAsia"/>
          <w:kern w:val="2"/>
          <w:szCs w:val="20"/>
        </w:rPr>
        <w:t>8）厌氧罐管道应有防止结垢、冬季结冰等措施，且厌氧罐辅助构筑物应考虑充足。</w:t>
      </w:r>
    </w:p>
    <w:p w14:paraId="1FDA3714" w14:textId="77777777" w:rsidR="007F6DDE" w:rsidRPr="006F6FAA" w:rsidRDefault="007F6DDE"/>
    <w:sectPr w:rsidR="007F6DDE" w:rsidRPr="006F6F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69DFC" w14:textId="77777777" w:rsidR="00FA5021" w:rsidRDefault="00FA5021" w:rsidP="006F6FAA">
      <w:pPr>
        <w:spacing w:line="240" w:lineRule="auto"/>
      </w:pPr>
      <w:r>
        <w:separator/>
      </w:r>
    </w:p>
  </w:endnote>
  <w:endnote w:type="continuationSeparator" w:id="0">
    <w:p w14:paraId="78565A0C" w14:textId="77777777" w:rsidR="00FA5021" w:rsidRDefault="00FA5021" w:rsidP="006F6F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5EA89" w14:textId="77777777" w:rsidR="00FA5021" w:rsidRDefault="00FA5021" w:rsidP="006F6FAA">
      <w:pPr>
        <w:spacing w:line="240" w:lineRule="auto"/>
      </w:pPr>
      <w:r>
        <w:separator/>
      </w:r>
    </w:p>
  </w:footnote>
  <w:footnote w:type="continuationSeparator" w:id="0">
    <w:p w14:paraId="7C0D4A90" w14:textId="77777777" w:rsidR="00FA5021" w:rsidRDefault="00FA5021" w:rsidP="006F6FA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C"/>
    <w:multiLevelType w:val="multilevel"/>
    <w:tmpl w:val="0000001C"/>
    <w:lvl w:ilvl="0">
      <w:start w:val="1"/>
      <w:numFmt w:val="chineseCountingThousand"/>
      <w:suff w:val="space"/>
      <w:lvlText w:val="%1"/>
      <w:lvlJc w:val="right"/>
      <w:pPr>
        <w:ind w:left="0" w:firstLine="288"/>
      </w:pPr>
    </w:lvl>
    <w:lvl w:ilvl="1">
      <w:start w:val="1"/>
      <w:numFmt w:val="decimal"/>
      <w:isLgl/>
      <w:lvlText w:val="%1.%2"/>
      <w:lvlJc w:val="left"/>
      <w:pPr>
        <w:tabs>
          <w:tab w:val="num" w:pos="576"/>
        </w:tabs>
        <w:ind w:left="576" w:hanging="576"/>
      </w:pPr>
      <w:rPr>
        <w:sz w:val="30"/>
      </w:rPr>
    </w:lvl>
    <w:lvl w:ilvl="2">
      <w:start w:val="1"/>
      <w:numFmt w:val="decimal"/>
      <w:isLgl/>
      <w:suff w:val="space"/>
      <w:lvlText w:val="%1.%2.%3"/>
      <w:lvlJc w:val="left"/>
      <w:pPr>
        <w:ind w:left="1430" w:hanging="720"/>
      </w:pPr>
    </w:lvl>
    <w:lvl w:ilvl="3">
      <w:start w:val="1"/>
      <w:numFmt w:val="decimal"/>
      <w:isLgl/>
      <w:suff w:val="space"/>
      <w:lvlText w:val="%1.%2.%3.%4"/>
      <w:lvlJc w:val="left"/>
      <w:pPr>
        <w:ind w:left="869" w:hanging="864"/>
      </w:pPr>
      <w:rPr>
        <w:rFonts w:ascii="Times New Roman" w:hAnsi="Times New Roman" w:cs="Times New Roman" w:hint="default"/>
        <w:b/>
        <w:i w:val="0"/>
        <w:spacing w:val="0"/>
        <w:sz w:val="24"/>
        <w:szCs w:val="24"/>
      </w:rPr>
    </w:lvl>
    <w:lvl w:ilvl="4">
      <w:start w:val="1"/>
      <w:numFmt w:val="decimal"/>
      <w:isLgl/>
      <w:lvlText w:val="%1.%2.%3.%4.%5"/>
      <w:lvlJc w:val="left"/>
      <w:pPr>
        <w:tabs>
          <w:tab w:val="num" w:pos="1013"/>
        </w:tabs>
        <w:ind w:left="1013" w:hanging="1008"/>
      </w:pPr>
    </w:lvl>
    <w:lvl w:ilvl="5">
      <w:start w:val="1"/>
      <w:numFmt w:val="decimal"/>
      <w:isLgl/>
      <w:lvlText w:val="%1.%2.%3.%4.%5.%6"/>
      <w:lvlJc w:val="left"/>
      <w:pPr>
        <w:tabs>
          <w:tab w:val="num" w:pos="1157"/>
        </w:tabs>
        <w:ind w:left="1157" w:hanging="1152"/>
      </w:pPr>
    </w:lvl>
    <w:lvl w:ilvl="6">
      <w:start w:val="1"/>
      <w:numFmt w:val="decimal"/>
      <w:lvlText w:val="%1.%2.%3.%4.%5.%6.%7"/>
      <w:lvlJc w:val="left"/>
      <w:pPr>
        <w:tabs>
          <w:tab w:val="num" w:pos="1301"/>
        </w:tabs>
        <w:ind w:left="1301" w:hanging="1296"/>
      </w:pPr>
    </w:lvl>
    <w:lvl w:ilvl="7">
      <w:start w:val="1"/>
      <w:numFmt w:val="decimal"/>
      <w:lvlText w:val="%1.%2.%3.%4.%5.%6.%7.%8"/>
      <w:lvlJc w:val="left"/>
      <w:pPr>
        <w:tabs>
          <w:tab w:val="num" w:pos="1445"/>
        </w:tabs>
        <w:ind w:left="1445" w:hanging="1440"/>
      </w:pPr>
    </w:lvl>
    <w:lvl w:ilvl="8">
      <w:start w:val="1"/>
      <w:numFmt w:val="decimal"/>
      <w:lvlText w:val="%1.%2.%3.%4.%5.%6.%7.%8.%9"/>
      <w:lvlJc w:val="left"/>
      <w:pPr>
        <w:tabs>
          <w:tab w:val="num" w:pos="1589"/>
        </w:tabs>
        <w:ind w:left="1589"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DDE"/>
    <w:rsid w:val="00146F97"/>
    <w:rsid w:val="00224D37"/>
    <w:rsid w:val="002C7041"/>
    <w:rsid w:val="002F6399"/>
    <w:rsid w:val="003102E0"/>
    <w:rsid w:val="003532FD"/>
    <w:rsid w:val="003E7497"/>
    <w:rsid w:val="006F6FAA"/>
    <w:rsid w:val="007D68E3"/>
    <w:rsid w:val="007F6DDE"/>
    <w:rsid w:val="00827FA8"/>
    <w:rsid w:val="008A3FF0"/>
    <w:rsid w:val="00BE3B4E"/>
    <w:rsid w:val="00C34EE4"/>
    <w:rsid w:val="00C76A03"/>
    <w:rsid w:val="00F75241"/>
    <w:rsid w:val="00FA5021"/>
    <w:rsid w:val="00FC5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B00FDA"/>
  <w15:chartTrackingRefBased/>
  <w15:docId w15:val="{5460FAA2-3501-4F58-A509-3480C1989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6F6FAA"/>
    <w:pPr>
      <w:widowControl w:val="0"/>
      <w:spacing w:line="360" w:lineRule="auto"/>
    </w:pPr>
    <w:rPr>
      <w:rFonts w:ascii="Times New Roman" w:eastAsia="黑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6F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F6FAA"/>
    <w:rPr>
      <w:sz w:val="18"/>
      <w:szCs w:val="18"/>
    </w:rPr>
  </w:style>
  <w:style w:type="paragraph" w:styleId="a5">
    <w:name w:val="footer"/>
    <w:basedOn w:val="a"/>
    <w:link w:val="a6"/>
    <w:uiPriority w:val="99"/>
    <w:unhideWhenUsed/>
    <w:rsid w:val="006F6FAA"/>
    <w:pPr>
      <w:tabs>
        <w:tab w:val="center" w:pos="4153"/>
        <w:tab w:val="right" w:pos="8306"/>
      </w:tabs>
      <w:snapToGrid w:val="0"/>
    </w:pPr>
    <w:rPr>
      <w:sz w:val="18"/>
      <w:szCs w:val="18"/>
    </w:rPr>
  </w:style>
  <w:style w:type="character" w:customStyle="1" w:styleId="a6">
    <w:name w:val="页脚 字符"/>
    <w:basedOn w:val="a0"/>
    <w:link w:val="a5"/>
    <w:uiPriority w:val="99"/>
    <w:rsid w:val="006F6FAA"/>
    <w:rPr>
      <w:sz w:val="18"/>
      <w:szCs w:val="18"/>
    </w:rPr>
  </w:style>
  <w:style w:type="character" w:customStyle="1" w:styleId="33Char">
    <w:name w:val="样式 样式 标题 3三级 标题 3 + 黑体 小四 非加粗 + 非加宽量 / 紧缩量 Char"/>
    <w:link w:val="33"/>
    <w:qFormat/>
    <w:locked/>
    <w:rsid w:val="006F6FAA"/>
    <w:rPr>
      <w:b/>
      <w:sz w:val="28"/>
      <w:szCs w:val="28"/>
    </w:rPr>
  </w:style>
  <w:style w:type="paragraph" w:customStyle="1" w:styleId="33">
    <w:name w:val="样式 样式 标题 3三级 标题 3 + 黑体 小四 非加粗 + 非加宽量 / 紧缩量"/>
    <w:basedOn w:val="a"/>
    <w:link w:val="33Char"/>
    <w:qFormat/>
    <w:rsid w:val="006F6FAA"/>
    <w:pPr>
      <w:keepNext/>
      <w:keepLines/>
      <w:spacing w:before="120" w:after="120"/>
      <w:jc w:val="both"/>
      <w:outlineLvl w:val="2"/>
    </w:pPr>
    <w:rPr>
      <w:rFonts w:asciiTheme="minorHAnsi" w:eastAsiaTheme="minorEastAsia" w:hAnsiTheme="minorHAnsi" w:cstheme="minorBidi"/>
      <w:b/>
      <w:kern w:val="2"/>
      <w:sz w:val="28"/>
      <w:szCs w:val="28"/>
    </w:rPr>
  </w:style>
  <w:style w:type="paragraph" w:styleId="a7">
    <w:name w:val="Body Text Indent"/>
    <w:basedOn w:val="a"/>
    <w:link w:val="a8"/>
    <w:uiPriority w:val="99"/>
    <w:semiHidden/>
    <w:unhideWhenUsed/>
    <w:rsid w:val="006F6FAA"/>
    <w:pPr>
      <w:spacing w:after="120"/>
      <w:ind w:leftChars="200" w:left="420"/>
    </w:pPr>
  </w:style>
  <w:style w:type="character" w:customStyle="1" w:styleId="a8">
    <w:name w:val="正文文本缩进 字符"/>
    <w:basedOn w:val="a0"/>
    <w:link w:val="a7"/>
    <w:uiPriority w:val="99"/>
    <w:semiHidden/>
    <w:rsid w:val="006F6FAA"/>
    <w:rPr>
      <w:rFonts w:ascii="Times New Roman" w:eastAsia="黑体" w:hAnsi="Times New Roman" w:cs="Times New Roman"/>
      <w:kern w:val="0"/>
      <w:sz w:val="24"/>
      <w:szCs w:val="24"/>
    </w:rPr>
  </w:style>
  <w:style w:type="paragraph" w:styleId="2">
    <w:name w:val="Body Text First Indent 2"/>
    <w:basedOn w:val="a7"/>
    <w:link w:val="20"/>
    <w:uiPriority w:val="99"/>
    <w:semiHidden/>
    <w:unhideWhenUsed/>
    <w:rsid w:val="006F6FAA"/>
    <w:pPr>
      <w:ind w:firstLineChars="200" w:firstLine="420"/>
    </w:pPr>
  </w:style>
  <w:style w:type="character" w:customStyle="1" w:styleId="20">
    <w:name w:val="正文文本首行缩进 2 字符"/>
    <w:basedOn w:val="a8"/>
    <w:link w:val="2"/>
    <w:uiPriority w:val="99"/>
    <w:semiHidden/>
    <w:rsid w:val="006F6FAA"/>
    <w:rPr>
      <w:rFonts w:ascii="Times New Roman" w:eastAsia="黑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79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 人文</dc:creator>
  <cp:keywords/>
  <dc:description/>
  <cp:lastModifiedBy>曹 人文</cp:lastModifiedBy>
  <cp:revision>17</cp:revision>
  <dcterms:created xsi:type="dcterms:W3CDTF">2021-06-08T10:39:00Z</dcterms:created>
  <dcterms:modified xsi:type="dcterms:W3CDTF">2021-06-09T06:48:00Z</dcterms:modified>
</cp:coreProperties>
</file>